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99E" w:rsidRDefault="00D079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</w:p>
    <w:tbl>
      <w:tblPr>
        <w:tblStyle w:val="a"/>
        <w:tblW w:w="7519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1"/>
        <w:gridCol w:w="4908"/>
      </w:tblGrid>
      <w:tr w:rsidR="00D0799E" w:rsidRPr="007E3091" w:rsidTr="007E3091">
        <w:trPr>
          <w:trHeight w:val="26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9E" w:rsidRPr="007E3091" w:rsidRDefault="009D5E0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7E3091">
              <w:rPr>
                <w:rFonts w:asciiTheme="minorHAnsi" w:hAnsiTheme="minorHAnsi" w:cstheme="minorHAnsi"/>
                <w:b/>
                <w:sz w:val="20"/>
                <w:szCs w:val="20"/>
              </w:rPr>
              <w:t>PROGRAM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9E" w:rsidRPr="007E3091" w:rsidRDefault="009D5E0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0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Master of Business Administration </w:t>
            </w:r>
          </w:p>
        </w:tc>
      </w:tr>
      <w:tr w:rsidR="00D0799E" w:rsidRPr="007E3091" w:rsidTr="007E3091">
        <w:trPr>
          <w:trHeight w:val="26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9E" w:rsidRPr="007E3091" w:rsidRDefault="009D5E0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0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SEMESTER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9E" w:rsidRPr="007E3091" w:rsidRDefault="009D5E0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091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</w:tr>
      <w:tr w:rsidR="00D0799E" w:rsidRPr="007E3091" w:rsidTr="007E3091">
        <w:trPr>
          <w:trHeight w:val="26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9E" w:rsidRPr="007E3091" w:rsidRDefault="009D5E0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091">
              <w:rPr>
                <w:rFonts w:asciiTheme="minorHAnsi" w:hAnsiTheme="minorHAnsi" w:cstheme="minorHAnsi"/>
                <w:b/>
                <w:sz w:val="20"/>
                <w:szCs w:val="20"/>
              </w:rPr>
              <w:t>COURSE TITLE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99E" w:rsidRPr="007E3091" w:rsidRDefault="009D5E0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E30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International Logistics </w:t>
            </w:r>
            <w:r w:rsidR="00832481" w:rsidRPr="007E30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and</w:t>
            </w:r>
            <w:r w:rsidRPr="007E30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Management</w:t>
            </w:r>
          </w:p>
        </w:tc>
      </w:tr>
      <w:tr w:rsidR="00D0799E" w:rsidRPr="007E3091" w:rsidTr="007E3091">
        <w:trPr>
          <w:trHeight w:val="26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9E" w:rsidRPr="007E3091" w:rsidRDefault="009D5E0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091">
              <w:rPr>
                <w:rFonts w:asciiTheme="minorHAnsi" w:hAnsiTheme="minorHAnsi" w:cstheme="minorHAnsi"/>
                <w:b/>
                <w:sz w:val="20"/>
                <w:szCs w:val="20"/>
              </w:rPr>
              <w:t>COURSE CODE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99E" w:rsidRPr="007E3091" w:rsidRDefault="007E309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E30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04MB0438</w:t>
            </w:r>
          </w:p>
        </w:tc>
      </w:tr>
      <w:tr w:rsidR="00D0799E" w:rsidRPr="007E3091" w:rsidTr="007E3091">
        <w:trPr>
          <w:trHeight w:val="26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9E" w:rsidRPr="007E3091" w:rsidRDefault="009D5E0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091">
              <w:rPr>
                <w:rFonts w:asciiTheme="minorHAnsi" w:hAnsiTheme="minorHAnsi" w:cstheme="minorHAnsi"/>
                <w:b/>
                <w:sz w:val="20"/>
                <w:szCs w:val="20"/>
              </w:rPr>
              <w:t>COURSE CREDITS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99E" w:rsidRPr="007E3091" w:rsidRDefault="009D5E0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E3091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</w:tr>
      <w:tr w:rsidR="00D0799E" w:rsidRPr="007E3091" w:rsidTr="007E3091">
        <w:trPr>
          <w:trHeight w:val="26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9E" w:rsidRPr="007E3091" w:rsidRDefault="009D5E0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091">
              <w:rPr>
                <w:rFonts w:asciiTheme="minorHAnsi" w:hAnsiTheme="minorHAnsi" w:cstheme="minorHAnsi"/>
                <w:b/>
                <w:sz w:val="20"/>
                <w:szCs w:val="20"/>
              </w:rPr>
              <w:t>COURSE DURATION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99E" w:rsidRPr="007E3091" w:rsidRDefault="009D5E0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E30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Pr="007E3091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7E30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Hrs</w:t>
            </w:r>
          </w:p>
        </w:tc>
      </w:tr>
    </w:tbl>
    <w:p w:rsidR="00D0799E" w:rsidRDefault="00D0799E">
      <w:pPr>
        <w:spacing w:after="0" w:line="240" w:lineRule="auto"/>
        <w:jc w:val="both"/>
        <w:rPr>
          <w:b/>
          <w:sz w:val="20"/>
          <w:szCs w:val="20"/>
        </w:rPr>
      </w:pPr>
    </w:p>
    <w:p w:rsidR="00D0799E" w:rsidRDefault="009D5E08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COURSE OUTCOMES: </w:t>
      </w:r>
      <w:bookmarkStart w:id="1" w:name="_GoBack"/>
      <w:bookmarkEnd w:id="1"/>
    </w:p>
    <w:p w:rsidR="00D0799E" w:rsidRDefault="009D5E08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After studying this course, student should be able to</w:t>
      </w:r>
    </w:p>
    <w:p w:rsidR="00D0799E" w:rsidRDefault="009D5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color w:val="000000"/>
          <w:sz w:val="20"/>
          <w:szCs w:val="20"/>
        </w:rPr>
      </w:pPr>
      <w:r>
        <w:rPr>
          <w:sz w:val="20"/>
          <w:szCs w:val="20"/>
        </w:rPr>
        <w:t xml:space="preserve">Remember </w:t>
      </w:r>
      <w:r>
        <w:rPr>
          <w:color w:val="000000"/>
          <w:sz w:val="20"/>
          <w:szCs w:val="20"/>
        </w:rPr>
        <w:t xml:space="preserve">the various issues </w:t>
      </w:r>
      <w:r>
        <w:rPr>
          <w:sz w:val="20"/>
          <w:szCs w:val="20"/>
        </w:rPr>
        <w:t xml:space="preserve">of </w:t>
      </w:r>
      <w:r>
        <w:rPr>
          <w:color w:val="000000"/>
          <w:sz w:val="20"/>
          <w:szCs w:val="20"/>
        </w:rPr>
        <w:t xml:space="preserve">international </w:t>
      </w:r>
      <w:r w:rsidR="00832481">
        <w:rPr>
          <w:color w:val="000000"/>
          <w:sz w:val="20"/>
          <w:szCs w:val="20"/>
        </w:rPr>
        <w:t>transportation.</w:t>
      </w:r>
      <w:r>
        <w:rPr>
          <w:color w:val="000000"/>
          <w:sz w:val="20"/>
          <w:szCs w:val="20"/>
        </w:rPr>
        <w:t xml:space="preserve"> </w:t>
      </w:r>
    </w:p>
    <w:p w:rsidR="00D0799E" w:rsidRDefault="009D5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Evaluate different transportation modes for fulfilling Organization’s </w:t>
      </w:r>
      <w:r w:rsidR="00832481">
        <w:rPr>
          <w:color w:val="000000"/>
          <w:sz w:val="20"/>
          <w:szCs w:val="20"/>
        </w:rPr>
        <w:t>need.</w:t>
      </w:r>
    </w:p>
    <w:p w:rsidR="00D0799E" w:rsidRDefault="009D5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Apply the concepts of Inventory Management in International Logistics</w:t>
      </w:r>
    </w:p>
    <w:p w:rsidR="00D0799E" w:rsidRDefault="008324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Calibri" w:cs="Calibri"/>
          <w:color w:val="000000"/>
          <w:sz w:val="20"/>
          <w:szCs w:val="20"/>
        </w:rPr>
      </w:pPr>
      <w:r>
        <w:rPr>
          <w:sz w:val="20"/>
          <w:szCs w:val="20"/>
        </w:rPr>
        <w:t>Analyse</w:t>
      </w:r>
      <w:r w:rsidR="009D5E08">
        <w:rPr>
          <w:sz w:val="20"/>
          <w:szCs w:val="20"/>
        </w:rPr>
        <w:t xml:space="preserve"> </w:t>
      </w:r>
      <w:r w:rsidR="009D5E08">
        <w:rPr>
          <w:color w:val="000000"/>
          <w:sz w:val="20"/>
          <w:szCs w:val="20"/>
        </w:rPr>
        <w:t>the Importance of Chartering and Containerization in International Trade.</w:t>
      </w:r>
    </w:p>
    <w:p w:rsidR="00D0799E" w:rsidRDefault="008324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Calibri" w:cs="Calibri"/>
          <w:sz w:val="20"/>
          <w:szCs w:val="20"/>
        </w:rPr>
      </w:pPr>
      <w:r>
        <w:rPr>
          <w:sz w:val="20"/>
          <w:szCs w:val="20"/>
        </w:rPr>
        <w:t>Understand the</w:t>
      </w:r>
      <w:r w:rsidR="009D5E08">
        <w:rPr>
          <w:sz w:val="20"/>
          <w:szCs w:val="20"/>
        </w:rPr>
        <w:t xml:space="preserve"> concepts of Inventory Management in International Logistics.</w:t>
      </w:r>
    </w:p>
    <w:p w:rsidR="00D0799E" w:rsidRDefault="00D0799E">
      <w:pPr>
        <w:spacing w:line="240" w:lineRule="auto"/>
        <w:jc w:val="both"/>
        <w:rPr>
          <w:b/>
          <w:sz w:val="20"/>
          <w:szCs w:val="20"/>
        </w:rPr>
      </w:pPr>
    </w:p>
    <w:p w:rsidR="00D0799E" w:rsidRDefault="009D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COURSE CONTENTS: </w:t>
      </w:r>
    </w:p>
    <w:p w:rsidR="00D0799E" w:rsidRDefault="00D079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tbl>
      <w:tblPr>
        <w:tblStyle w:val="a0"/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3"/>
        <w:gridCol w:w="7347"/>
        <w:gridCol w:w="1316"/>
      </w:tblGrid>
      <w:tr w:rsidR="00D0799E">
        <w:tc>
          <w:tcPr>
            <w:tcW w:w="1143" w:type="dxa"/>
          </w:tcPr>
          <w:p w:rsidR="00D0799E" w:rsidRDefault="009D5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2" w:name="_heading=h.30j0zll" w:colFirst="0" w:colLast="0"/>
            <w:bookmarkEnd w:id="2"/>
            <w:r>
              <w:rPr>
                <w:b/>
                <w:sz w:val="20"/>
                <w:szCs w:val="20"/>
              </w:rPr>
              <w:t>Unit No</w:t>
            </w:r>
          </w:p>
        </w:tc>
        <w:tc>
          <w:tcPr>
            <w:tcW w:w="7347" w:type="dxa"/>
          </w:tcPr>
          <w:p w:rsidR="00D0799E" w:rsidRDefault="009D5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/ Sub Unit</w:t>
            </w:r>
          </w:p>
        </w:tc>
        <w:tc>
          <w:tcPr>
            <w:tcW w:w="1316" w:type="dxa"/>
          </w:tcPr>
          <w:p w:rsidR="00D0799E" w:rsidRDefault="009D5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Sessions</w:t>
            </w:r>
          </w:p>
        </w:tc>
      </w:tr>
      <w:tr w:rsidR="00D0799E">
        <w:tc>
          <w:tcPr>
            <w:tcW w:w="1143" w:type="dxa"/>
          </w:tcPr>
          <w:p w:rsidR="00D0799E" w:rsidRDefault="009D5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7347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Trade: Need and Importance – Recent Trends in World Trade – Leading players – India’s Foreign Trade – Commodity Composition and Destination - Overview of International Logistics Components, Importance, Objectives; Logistic Subsystem;- Integrated Logistics; - Barrier to Internal Integration – Logistics Documents for International Trade.</w:t>
            </w:r>
          </w:p>
        </w:tc>
        <w:tc>
          <w:tcPr>
            <w:tcW w:w="1316" w:type="dxa"/>
          </w:tcPr>
          <w:p w:rsidR="00D0799E" w:rsidRDefault="009D5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0799E">
        <w:tc>
          <w:tcPr>
            <w:tcW w:w="1143" w:type="dxa"/>
          </w:tcPr>
          <w:p w:rsidR="00D0799E" w:rsidRDefault="009D5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7347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 and Logistics Customer Focused Marketing; International Marketing: International Marketing Channel: Role of Clearing Agent, Various Modes of Transport, Choice and Issues for Each Mode, Transport Cost Characteristics</w:t>
            </w:r>
          </w:p>
        </w:tc>
        <w:tc>
          <w:tcPr>
            <w:tcW w:w="1316" w:type="dxa"/>
          </w:tcPr>
          <w:p w:rsidR="00D0799E" w:rsidRDefault="009D5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0799E">
        <w:tc>
          <w:tcPr>
            <w:tcW w:w="1143" w:type="dxa"/>
          </w:tcPr>
          <w:p w:rsidR="00D0799E" w:rsidRDefault="009D5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7347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Basics of Transportation </w:t>
            </w:r>
            <w:proofErr w:type="spellStart"/>
            <w:r>
              <w:rPr>
                <w:sz w:val="20"/>
                <w:szCs w:val="20"/>
              </w:rPr>
              <w:t>Transportation</w:t>
            </w:r>
            <w:proofErr w:type="spellEnd"/>
            <w:r>
              <w:rPr>
                <w:sz w:val="20"/>
                <w:szCs w:val="20"/>
              </w:rPr>
              <w:t xml:space="preserve"> Functionality and Principles; Multimodal Transport: Modal Characteristics; Modal Comparisons; Legal Classifications; International Air Transport; Air Cargo Tariff Structure; Freight: Definition, Rate; Freight Structure and Practice</w:t>
            </w:r>
          </w:p>
        </w:tc>
        <w:tc>
          <w:tcPr>
            <w:tcW w:w="1316" w:type="dxa"/>
          </w:tcPr>
          <w:p w:rsidR="00D0799E" w:rsidRDefault="009D5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0799E">
        <w:tc>
          <w:tcPr>
            <w:tcW w:w="1143" w:type="dxa"/>
          </w:tcPr>
          <w:p w:rsidR="00D0799E" w:rsidRDefault="009D5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7347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Containerization and Chartering Containerization: Genesis, Concept, Classification, Benefits and Constraints; Inland Container Depot (ICD): Roles and Functions, CFS, Export Clearance at ICD; CONCOR; ICDs under CONCOR; Chartering: Kinds of Charter, Charter Party, and Arbitration</w:t>
            </w:r>
          </w:p>
        </w:tc>
        <w:tc>
          <w:tcPr>
            <w:tcW w:w="1316" w:type="dxa"/>
          </w:tcPr>
          <w:p w:rsidR="00D0799E" w:rsidRDefault="009D5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0799E">
        <w:tc>
          <w:tcPr>
            <w:tcW w:w="1143" w:type="dxa"/>
          </w:tcPr>
          <w:p w:rsidR="00D0799E" w:rsidRDefault="009D5E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7347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Inventory Management and Packaging Inventory Management: Introduction, Characteristics, Functionality, Components, Planning; Packaging and Packing: Labels, Functions of Packaging, Designs, Kinds of Packaging; Packing for Transportation and Marking: Types of Boxes, Container, Procedure, Cost, Types of Marking, Features of Marking -Dynamic Component for Continuous Internal Assessment only: Contemporary Developments Related to the Course during the Semester concerned</w:t>
            </w:r>
          </w:p>
        </w:tc>
        <w:tc>
          <w:tcPr>
            <w:tcW w:w="1316" w:type="dxa"/>
          </w:tcPr>
          <w:p w:rsidR="00D0799E" w:rsidRDefault="009D5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D0799E" w:rsidRDefault="00D0799E">
      <w:pPr>
        <w:spacing w:after="0" w:line="240" w:lineRule="auto"/>
        <w:jc w:val="both"/>
        <w:rPr>
          <w:sz w:val="20"/>
          <w:szCs w:val="20"/>
        </w:rPr>
      </w:pPr>
    </w:p>
    <w:p w:rsidR="00D0799E" w:rsidRDefault="00D0799E">
      <w:pPr>
        <w:spacing w:after="0" w:line="240" w:lineRule="auto"/>
        <w:jc w:val="both"/>
        <w:rPr>
          <w:b/>
          <w:sz w:val="20"/>
          <w:szCs w:val="20"/>
        </w:rPr>
      </w:pPr>
    </w:p>
    <w:p w:rsidR="00D0799E" w:rsidRDefault="00D0799E">
      <w:pPr>
        <w:spacing w:after="0" w:line="240" w:lineRule="auto"/>
        <w:jc w:val="both"/>
        <w:rPr>
          <w:b/>
          <w:sz w:val="20"/>
          <w:szCs w:val="20"/>
        </w:rPr>
      </w:pPr>
    </w:p>
    <w:p w:rsidR="00D0799E" w:rsidRDefault="009D5E08">
      <w:pPr>
        <w:spacing w:before="60" w:after="6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EVALUATION:</w:t>
      </w:r>
    </w:p>
    <w:p w:rsidR="00D0799E" w:rsidRDefault="009D5E08">
      <w:pPr>
        <w:spacing w:before="60"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 students will be evaluated on a continuous basis and broadly follow the scheme given below:</w:t>
      </w:r>
    </w:p>
    <w:tbl>
      <w:tblPr>
        <w:tblStyle w:val="a1"/>
        <w:tblW w:w="91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521"/>
        <w:gridCol w:w="1905"/>
      </w:tblGrid>
      <w:tr w:rsidR="00D0799E">
        <w:tc>
          <w:tcPr>
            <w:tcW w:w="709" w:type="dxa"/>
          </w:tcPr>
          <w:p w:rsidR="00D0799E" w:rsidRDefault="00D0799E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D0799E" w:rsidRDefault="009D5E08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Component</w:t>
            </w:r>
          </w:p>
        </w:tc>
        <w:tc>
          <w:tcPr>
            <w:tcW w:w="1905" w:type="dxa"/>
          </w:tcPr>
          <w:p w:rsidR="00D0799E" w:rsidRDefault="009D5E08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Weightage</w:t>
            </w:r>
          </w:p>
        </w:tc>
      </w:tr>
      <w:tr w:rsidR="00D0799E">
        <w:tc>
          <w:tcPr>
            <w:tcW w:w="709" w:type="dxa"/>
          </w:tcPr>
          <w:p w:rsidR="00D0799E" w:rsidRDefault="009D5E08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521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Continuous Evaluation Component (Assignments / Presentations/ Quizzes / Class Participation/ etc.)</w:t>
            </w:r>
          </w:p>
        </w:tc>
        <w:tc>
          <w:tcPr>
            <w:tcW w:w="1905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 (C.E.C.)</w:t>
            </w:r>
          </w:p>
        </w:tc>
      </w:tr>
      <w:tr w:rsidR="00D0799E">
        <w:tc>
          <w:tcPr>
            <w:tcW w:w="709" w:type="dxa"/>
          </w:tcPr>
          <w:p w:rsidR="00D0799E" w:rsidRDefault="009D5E08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6521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 Assessment</w:t>
            </w:r>
          </w:p>
        </w:tc>
        <w:tc>
          <w:tcPr>
            <w:tcW w:w="1905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  (I.A.)</w:t>
            </w:r>
          </w:p>
        </w:tc>
      </w:tr>
      <w:tr w:rsidR="00D0799E">
        <w:tc>
          <w:tcPr>
            <w:tcW w:w="709" w:type="dxa"/>
          </w:tcPr>
          <w:p w:rsidR="00D0799E" w:rsidRDefault="00D0799E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End-Semester Examination</w:t>
            </w:r>
          </w:p>
        </w:tc>
        <w:tc>
          <w:tcPr>
            <w:tcW w:w="1905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 (External Assessment)</w:t>
            </w:r>
          </w:p>
        </w:tc>
      </w:tr>
    </w:tbl>
    <w:p w:rsidR="00D0799E" w:rsidRDefault="00D0799E">
      <w:pPr>
        <w:spacing w:before="60" w:after="60" w:line="240" w:lineRule="auto"/>
        <w:rPr>
          <w:sz w:val="20"/>
          <w:szCs w:val="20"/>
        </w:rPr>
      </w:pPr>
    </w:p>
    <w:p w:rsidR="00D0799E" w:rsidRDefault="00D0799E">
      <w:pPr>
        <w:spacing w:before="60" w:after="60" w:line="240" w:lineRule="auto"/>
        <w:rPr>
          <w:sz w:val="20"/>
          <w:szCs w:val="20"/>
        </w:rPr>
      </w:pPr>
    </w:p>
    <w:p w:rsidR="00D0799E" w:rsidRDefault="00D0799E">
      <w:pPr>
        <w:spacing w:before="60" w:after="60" w:line="240" w:lineRule="auto"/>
        <w:rPr>
          <w:sz w:val="20"/>
          <w:szCs w:val="20"/>
        </w:rPr>
      </w:pPr>
    </w:p>
    <w:p w:rsidR="00D0799E" w:rsidRDefault="009D5E08">
      <w:pPr>
        <w:spacing w:before="60" w:after="6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SUGGESTED READINGS:</w:t>
      </w:r>
    </w:p>
    <w:p w:rsidR="00D0799E" w:rsidRDefault="009D5E08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Text Books:</w:t>
      </w:r>
    </w:p>
    <w:p w:rsidR="00D0799E" w:rsidRDefault="00D0799E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a2"/>
        <w:tblW w:w="9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2061"/>
        <w:gridCol w:w="2855"/>
        <w:gridCol w:w="2378"/>
        <w:gridCol w:w="1654"/>
      </w:tblGrid>
      <w:tr w:rsidR="00D0799E">
        <w:tc>
          <w:tcPr>
            <w:tcW w:w="864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Sr. No</w:t>
            </w:r>
          </w:p>
        </w:tc>
        <w:tc>
          <w:tcPr>
            <w:tcW w:w="2061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Author/s</w:t>
            </w:r>
          </w:p>
        </w:tc>
        <w:tc>
          <w:tcPr>
            <w:tcW w:w="2855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of the Book 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2378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Publisher</w:t>
            </w:r>
          </w:p>
        </w:tc>
        <w:tc>
          <w:tcPr>
            <w:tcW w:w="1654" w:type="dxa"/>
          </w:tcPr>
          <w:p w:rsidR="00D0799E" w:rsidRDefault="009D5E08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Edition and  Year </w:t>
            </w:r>
          </w:p>
          <w:p w:rsidR="00D0799E" w:rsidRDefault="00D079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0799E">
        <w:tc>
          <w:tcPr>
            <w:tcW w:w="864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T-01</w:t>
            </w:r>
          </w:p>
          <w:p w:rsidR="00D0799E" w:rsidRDefault="00D07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SakOnkvisit</w:t>
            </w:r>
            <w:proofErr w:type="spellEnd"/>
            <w:r>
              <w:rPr>
                <w:sz w:val="20"/>
                <w:szCs w:val="20"/>
              </w:rPr>
              <w:t>(1996) &amp; John J. Shaw</w:t>
            </w:r>
          </w:p>
        </w:tc>
        <w:tc>
          <w:tcPr>
            <w:tcW w:w="2855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Marketing</w:t>
            </w:r>
          </w:p>
        </w:tc>
        <w:tc>
          <w:tcPr>
            <w:tcW w:w="2378" w:type="dxa"/>
          </w:tcPr>
          <w:p w:rsidR="00D0799E" w:rsidRDefault="009D5E08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Prentice Hall of India</w:t>
            </w:r>
          </w:p>
        </w:tc>
        <w:tc>
          <w:tcPr>
            <w:tcW w:w="1654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Latest</w:t>
            </w:r>
          </w:p>
        </w:tc>
      </w:tr>
      <w:tr w:rsidR="00D0799E">
        <w:tc>
          <w:tcPr>
            <w:tcW w:w="864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T-02</w:t>
            </w:r>
          </w:p>
        </w:tc>
        <w:tc>
          <w:tcPr>
            <w:tcW w:w="2061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Multiah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Krishnaveni</w:t>
            </w:r>
            <w:proofErr w:type="spellEnd"/>
          </w:p>
        </w:tc>
        <w:tc>
          <w:tcPr>
            <w:tcW w:w="2855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Logistic Management and World Sea Borne Trade</w:t>
            </w:r>
          </w:p>
        </w:tc>
        <w:tc>
          <w:tcPr>
            <w:tcW w:w="2378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Himalaya Publication</w:t>
            </w:r>
          </w:p>
        </w:tc>
        <w:tc>
          <w:tcPr>
            <w:tcW w:w="1654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</w:tr>
    </w:tbl>
    <w:p w:rsidR="00D0799E" w:rsidRDefault="00D079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:rsidR="00D0799E" w:rsidRDefault="00D079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:rsidR="00D0799E" w:rsidRDefault="00D079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:rsidR="00D0799E" w:rsidRDefault="00D079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:rsidR="00D0799E" w:rsidRDefault="009D5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Reference Books:</w:t>
      </w:r>
    </w:p>
    <w:p w:rsidR="00D0799E" w:rsidRDefault="00D079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tbl>
      <w:tblPr>
        <w:tblStyle w:val="a3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3"/>
        <w:gridCol w:w="2001"/>
        <w:gridCol w:w="2894"/>
        <w:gridCol w:w="2367"/>
        <w:gridCol w:w="1693"/>
      </w:tblGrid>
      <w:tr w:rsidR="00D0799E">
        <w:trPr>
          <w:trHeight w:val="665"/>
        </w:trPr>
        <w:tc>
          <w:tcPr>
            <w:tcW w:w="874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Sr. No</w:t>
            </w:r>
          </w:p>
        </w:tc>
        <w:tc>
          <w:tcPr>
            <w:tcW w:w="2001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Author/s</w:t>
            </w:r>
          </w:p>
        </w:tc>
        <w:tc>
          <w:tcPr>
            <w:tcW w:w="2894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of the Book 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2367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Publisher</w:t>
            </w:r>
          </w:p>
        </w:tc>
        <w:tc>
          <w:tcPr>
            <w:tcW w:w="1693" w:type="dxa"/>
          </w:tcPr>
          <w:p w:rsidR="00D0799E" w:rsidRDefault="009D5E08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Edition and  Year </w:t>
            </w:r>
          </w:p>
          <w:p w:rsidR="00D0799E" w:rsidRDefault="00D079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0799E">
        <w:tc>
          <w:tcPr>
            <w:tcW w:w="874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R-01</w:t>
            </w:r>
          </w:p>
        </w:tc>
        <w:tc>
          <w:tcPr>
            <w:tcW w:w="2001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Gupta and Varshney</w:t>
            </w:r>
          </w:p>
        </w:tc>
        <w:tc>
          <w:tcPr>
            <w:tcW w:w="2894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Marketing</w:t>
            </w:r>
          </w:p>
        </w:tc>
        <w:tc>
          <w:tcPr>
            <w:tcW w:w="2367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Sultan Chand and Sons</w:t>
            </w:r>
          </w:p>
        </w:tc>
        <w:tc>
          <w:tcPr>
            <w:tcW w:w="1693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D0799E">
        <w:tc>
          <w:tcPr>
            <w:tcW w:w="874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R-02</w:t>
            </w:r>
          </w:p>
        </w:tc>
        <w:tc>
          <w:tcPr>
            <w:tcW w:w="2001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Pierre David</w:t>
            </w:r>
          </w:p>
        </w:tc>
        <w:tc>
          <w:tcPr>
            <w:tcW w:w="2894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Logistics</w:t>
            </w:r>
          </w:p>
        </w:tc>
        <w:tc>
          <w:tcPr>
            <w:tcW w:w="2367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Biztantra</w:t>
            </w:r>
            <w:proofErr w:type="spellEnd"/>
          </w:p>
        </w:tc>
        <w:tc>
          <w:tcPr>
            <w:tcW w:w="1693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</w:tr>
      <w:tr w:rsidR="00D0799E">
        <w:tc>
          <w:tcPr>
            <w:tcW w:w="874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R-03</w:t>
            </w:r>
          </w:p>
        </w:tc>
        <w:tc>
          <w:tcPr>
            <w:tcW w:w="2001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Donald J. Bowersox</w:t>
            </w:r>
          </w:p>
        </w:tc>
        <w:tc>
          <w:tcPr>
            <w:tcW w:w="2894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Chain Logistics Management</w:t>
            </w:r>
          </w:p>
        </w:tc>
        <w:tc>
          <w:tcPr>
            <w:tcW w:w="2367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McGraw Hill</w:t>
            </w:r>
          </w:p>
        </w:tc>
        <w:tc>
          <w:tcPr>
            <w:tcW w:w="1693" w:type="dxa"/>
          </w:tcPr>
          <w:p w:rsidR="00D0799E" w:rsidRDefault="009D5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</w:tr>
    </w:tbl>
    <w:p w:rsidR="00D0799E" w:rsidRDefault="00D079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sectPr w:rsidR="00D0799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8BF" w:rsidRDefault="005558BF">
      <w:pPr>
        <w:spacing w:after="0" w:line="240" w:lineRule="auto"/>
      </w:pPr>
      <w:r>
        <w:separator/>
      </w:r>
    </w:p>
  </w:endnote>
  <w:endnote w:type="continuationSeparator" w:id="0">
    <w:p w:rsidR="005558BF" w:rsidRDefault="0055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99E" w:rsidRDefault="009D5E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  <w:t xml:space="preserve">Page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PAGE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832481">
      <w:rPr>
        <w:rFonts w:eastAsia="Calibri" w:cs="Calibri"/>
        <w:b/>
        <w:noProof/>
        <w:color w:val="000000"/>
        <w:sz w:val="18"/>
        <w:szCs w:val="18"/>
      </w:rPr>
      <w:t>1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color w:val="000000"/>
        <w:sz w:val="18"/>
        <w:szCs w:val="18"/>
      </w:rPr>
      <w:t xml:space="preserve"> of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NUMPAGES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832481">
      <w:rPr>
        <w:rFonts w:eastAsia="Calibri" w:cs="Calibri"/>
        <w:b/>
        <w:noProof/>
        <w:color w:val="000000"/>
        <w:sz w:val="18"/>
        <w:szCs w:val="18"/>
      </w:rPr>
      <w:t>2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b/>
        <w:color w:val="000000"/>
        <w:sz w:val="18"/>
        <w:szCs w:val="18"/>
      </w:rPr>
      <w:tab/>
    </w:r>
    <w:r>
      <w:rPr>
        <w:rFonts w:eastAsia="Calibri" w:cs="Calibri"/>
        <w:color w:val="000000"/>
        <w:sz w:val="18"/>
        <w:szCs w:val="18"/>
      </w:rPr>
      <w:t xml:space="preserve"> Faculty of Business Management: Master of Business Administration </w:t>
    </w:r>
  </w:p>
  <w:p w:rsidR="00D0799E" w:rsidRDefault="00D079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  <w:p w:rsidR="00D0799E" w:rsidRDefault="00D079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8BF" w:rsidRDefault="005558BF">
      <w:pPr>
        <w:spacing w:after="0" w:line="240" w:lineRule="auto"/>
      </w:pPr>
      <w:r>
        <w:separator/>
      </w:r>
    </w:p>
  </w:footnote>
  <w:footnote w:type="continuationSeparator" w:id="0">
    <w:p w:rsidR="005558BF" w:rsidRDefault="00555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99E" w:rsidRDefault="009D5E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eastAsia="Calibri" w:cs="Calibri"/>
        <w:color w:val="000000"/>
      </w:rPr>
    </w:pPr>
    <w:r>
      <w:rPr>
        <w:rFonts w:eastAsia="Calibri" w:cs="Calibri"/>
        <w:noProof/>
        <w:color w:val="000000"/>
      </w:rPr>
      <w:drawing>
        <wp:inline distT="0" distB="0" distL="0" distR="0">
          <wp:extent cx="2449830" cy="6985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983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092A48"/>
    <w:multiLevelType w:val="multilevel"/>
    <w:tmpl w:val="8BBC28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99E"/>
    <w:rsid w:val="005558BF"/>
    <w:rsid w:val="007E3091"/>
    <w:rsid w:val="00832481"/>
    <w:rsid w:val="009D5E08"/>
    <w:rsid w:val="00AA26CD"/>
    <w:rsid w:val="00D0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796F0C-6D8A-481C-8C07-F655BD1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B3"/>
    <w:rPr>
      <w:rFonts w:eastAsia="SimSu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432B3"/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2B3"/>
    <w:rPr>
      <w:rFonts w:ascii="Calibri" w:eastAsia="SimSun" w:hAnsi="Calibri" w:cs="Times New Roman"/>
    </w:rPr>
  </w:style>
  <w:style w:type="paragraph" w:customStyle="1" w:styleId="NoSpacing1">
    <w:name w:val="No Spacing1"/>
    <w:uiPriority w:val="1"/>
    <w:qFormat/>
    <w:rsid w:val="002432B3"/>
    <w:pPr>
      <w:spacing w:after="0" w:line="240" w:lineRule="auto"/>
    </w:pPr>
    <w:rPr>
      <w:rFonts w:eastAsia="SimSun" w:cs="Times New Roman"/>
    </w:rPr>
  </w:style>
  <w:style w:type="paragraph" w:customStyle="1" w:styleId="m-3104575495676325560gmail-p0">
    <w:name w:val="m_-3104575495676325560gmail-p0"/>
    <w:basedOn w:val="Normal"/>
    <w:rsid w:val="00243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432B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8BD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DA1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9F5DA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ZgcsrJO/sZgQf6Y5kE6tXyRNpg==">AMUW2mU+oWfuxNoWsaMR1UtnzoZbp+qdsA+NdsrJpPuwmYIQdoeluP4UP08agl4hoLphVh5LvaSsO+ad1p8EpZUNczggH0cLI9aAv3FyekPYk+bLeGYPnWKEKz+Te6twrBBROEe6cUJ/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Alankar</dc:creator>
  <cp:lastModifiedBy>Kaushal Purohit</cp:lastModifiedBy>
  <cp:revision>2</cp:revision>
  <cp:lastPrinted>2021-06-17T12:55:00Z</cp:lastPrinted>
  <dcterms:created xsi:type="dcterms:W3CDTF">2021-09-11T06:28:00Z</dcterms:created>
  <dcterms:modified xsi:type="dcterms:W3CDTF">2021-09-11T06:28:00Z</dcterms:modified>
</cp:coreProperties>
</file>